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283" w:firstLine="0"/>
        <w:jc w:val="left"/>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36"/>
          <w:szCs w:val="36"/>
        </w:rPr>
      </w:pPr>
      <w:r w:rsidDel="00000000" w:rsidR="00000000" w:rsidRPr="00000000">
        <w:rPr>
          <w:rFonts w:ascii="Arial" w:cs="Arial" w:eastAsia="Arial" w:hAnsi="Arial"/>
          <w:color w:val="000000"/>
          <w:sz w:val="24"/>
          <w:szCs w:val="24"/>
          <w:highlight w:val="yellow"/>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color w:val="000000"/>
          <w:sz w:val="36"/>
          <w:szCs w:val="36"/>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851" w:hanging="567"/>
        <w:jc w:val="left"/>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In this Schedule, the following definitions shall apply:</w:t>
      </w:r>
      <w:r w:rsidDel="00000000" w:rsidR="00000000" w:rsidRPr="00000000">
        <w:rPr>
          <w:rtl w:val="0"/>
        </w:rPr>
      </w:r>
    </w:p>
    <w:tbl>
      <w:tblPr>
        <w:tblStyle w:val="Table1"/>
        <w:tblW w:w="8656.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4"/>
        <w:gridCol w:w="5952"/>
        <w:tblGridChange w:id="0">
          <w:tblGrid>
            <w:gridCol w:w="2704"/>
            <w:gridCol w:w="5952"/>
          </w:tblGrid>
        </w:tblGridChange>
      </w:tblGrid>
      <w:tr>
        <w:trPr>
          <w:cantSplit w:val="0"/>
          <w:tblHeader w:val="0"/>
        </w:trPr>
        <w:tc>
          <w:tcPr>
            <w:shd w:fill="ffffff"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40"/>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shd w:fill="ffffff" w:val="clear"/>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shd w:fill="ffffff"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shd w:fill="ffffff"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shd w:fill="ffffff"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shd w:fill="ffffff"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shd w:fill="ffffff"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shd w:fill="ffffff"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shd w:fill="ffffff"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2 to this Schedule;</w:t>
            </w:r>
          </w:p>
        </w:tc>
      </w:tr>
      <w:tr>
        <w:trPr>
          <w:cantSplit w:val="0"/>
          <w:tblHeader w:val="0"/>
        </w:trPr>
        <w:tc>
          <w:tcPr>
            <w:shd w:fill="ffffff"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shd w:fill="ffffff"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w:t>
            </w:r>
            <w:r w:rsidDel="00000000" w:rsidR="00000000" w:rsidRPr="00000000">
              <w:rPr>
                <w:rFonts w:ascii="Arial" w:cs="Arial" w:eastAsia="Arial" w:hAnsi="Arial"/>
                <w:color w:val="000000"/>
                <w:sz w:val="24"/>
                <w:szCs w:val="24"/>
                <w:highlight w:val="yellow"/>
                <w:rtl w:val="0"/>
              </w:rPr>
              <w:t xml:space="preserve">[Supplier, Key Sub-contractors, [the Guarantor] and the [Monitored Suppliers]];</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shd w:fill="ffffff"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shd w:fill="ffffff"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shd w:fill="ffffff"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shd w:fill="ffffff"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Indicators”</w:t>
            </w:r>
          </w:p>
        </w:tc>
        <w:tc>
          <w:tcPr>
            <w:shd w:fill="ffffff"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shd w:fill="ffffff"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shd w:fill="ffffff"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shd w:fill="ffffff"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shd w:fill="ffffff"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shd w:fill="ffffff"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shd w:fill="ffffff"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shd w:fill="ffffff"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shd w:fill="ffffff"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6">
              <w:r w:rsidDel="00000000" w:rsidR="00000000" w:rsidRPr="00000000">
                <w:rPr>
                  <w:rFonts w:ascii="Arial" w:cs="Arial" w:eastAsia="Arial" w:hAnsi="Arial"/>
                  <w:color w:val="0000ff"/>
                  <w:sz w:val="24"/>
                  <w:szCs w:val="24"/>
                  <w:u w:val="single"/>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FDE Group and the consequences of a change to that financial standing.</w:t>
      </w:r>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terms of this Schedule shall survive: </w:t>
      </w:r>
      <w:r w:rsidDel="00000000" w:rsidR="00000000" w:rsidRPr="00000000">
        <w:rPr>
          <w:rtl w:val="0"/>
        </w:rPr>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r w:rsidDel="00000000" w:rsidR="00000000" w:rsidRPr="00000000">
        <w:rPr>
          <w:rtl w:val="0"/>
        </w:rPr>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r w:rsidDel="00000000" w:rsidR="00000000" w:rsidRPr="00000000">
        <w:rPr>
          <w:rtl w:val="0"/>
        </w:rPr>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851" w:hanging="567"/>
        <w:jc w:val="left"/>
        <w:rPr/>
      </w:pPr>
      <w:r w:rsidDel="00000000" w:rsidR="00000000" w:rsidRPr="00000000">
        <w:rPr>
          <w:rFonts w:ascii="Arial Bold" w:cs="Arial Bold" w:eastAsia="Arial Bold" w:hAnsi="Arial Bold"/>
          <w:b w:val="1"/>
          <w:color w:val="000000"/>
          <w:sz w:val="24"/>
          <w:szCs w:val="24"/>
          <w:rtl w:val="0"/>
        </w:rPr>
        <w:t xml:space="preserve">Warranties and duty to notify</w:t>
      </w:r>
      <w:r w:rsidDel="00000000" w:rsidR="00000000" w:rsidRPr="00000000">
        <w:rPr>
          <w:rtl w:val="0"/>
        </w:rPr>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r w:rsidDel="00000000" w:rsidR="00000000" w:rsidRPr="00000000">
        <w:rPr>
          <w:rtl w:val="0"/>
        </w:rPr>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r w:rsidDel="00000000" w:rsidR="00000000" w:rsidRPr="00000000">
        <w:rPr>
          <w:rtl w:val="0"/>
        </w:rPr>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r w:rsidDel="00000000" w:rsidR="00000000" w:rsidRPr="00000000">
        <w:rPr>
          <w:rtl w:val="0"/>
        </w:rPr>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r w:rsidDel="00000000" w:rsidR="00000000" w:rsidRPr="00000000">
        <w:rPr>
          <w:rtl w:val="0"/>
        </w:rPr>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r w:rsidDel="00000000" w:rsidR="00000000" w:rsidRPr="00000000">
        <w:rPr>
          <w:rtl w:val="0"/>
        </w:rPr>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Each report submitted by the Supplier pursuant to paragraph 2.3.2 shall:</w:t>
      </w:r>
      <w:r w:rsidDel="00000000" w:rsidR="00000000" w:rsidRPr="00000000">
        <w:rPr>
          <w:rtl w:val="0"/>
        </w:rPr>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r w:rsidDel="00000000" w:rsidR="00000000" w:rsidRPr="00000000">
        <w:rPr>
          <w:rtl w:val="0"/>
        </w:rPr>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r w:rsidDel="00000000" w:rsidR="00000000" w:rsidRPr="00000000">
        <w:rPr>
          <w:rtl w:val="0"/>
        </w:rPr>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r w:rsidDel="00000000" w:rsidR="00000000" w:rsidRPr="00000000">
        <w:rPr>
          <w:rtl w:val="0"/>
        </w:rPr>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r w:rsidDel="00000000" w:rsidR="00000000" w:rsidRPr="00000000">
        <w:rPr>
          <w:rtl w:val="0"/>
        </w:rPr>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r w:rsidDel="00000000" w:rsidR="00000000" w:rsidRPr="00000000">
        <w:rPr>
          <w:rtl w:val="0"/>
        </w:rPr>
      </w:r>
    </w:p>
    <w:p w:rsidR="00000000" w:rsidDel="00000000" w:rsidP="00000000" w:rsidRDefault="00000000" w:rsidRPr="00000000" w14:paraId="0000003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851" w:hanging="567"/>
        <w:jc w:val="left"/>
        <w:rPr/>
      </w:pPr>
      <w:r w:rsidDel="00000000" w:rsidR="00000000" w:rsidRPr="00000000">
        <w:rPr>
          <w:rFonts w:ascii="Arial Bold" w:cs="Arial Bold" w:eastAsia="Arial Bold" w:hAnsi="Arial Bold"/>
          <w:b w:val="1"/>
          <w:color w:val="000000"/>
          <w:sz w:val="24"/>
          <w:szCs w:val="24"/>
          <w:rtl w:val="0"/>
        </w:rPr>
        <w:t xml:space="preserve">Financial Distress events</w:t>
      </w:r>
      <w:r w:rsidDel="00000000" w:rsidR="00000000" w:rsidRPr="00000000">
        <w:rPr>
          <w:rtl w:val="0"/>
        </w:rPr>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following shall be Financial Distress Events:</w:t>
      </w:r>
      <w:r w:rsidDel="00000000" w:rsidR="00000000" w:rsidRPr="00000000">
        <w:rPr>
          <w:rtl w:val="0"/>
        </w:rPr>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r w:rsidDel="00000000" w:rsidR="00000000" w:rsidRPr="00000000">
        <w:rPr>
          <w:rtl w:val="0"/>
        </w:rPr>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r w:rsidDel="00000000" w:rsidR="00000000" w:rsidRPr="00000000">
        <w:rPr>
          <w:rtl w:val="0"/>
        </w:rPr>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r w:rsidDel="00000000" w:rsidR="00000000" w:rsidRPr="00000000">
        <w:rPr>
          <w:rtl w:val="0"/>
        </w:rPr>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r w:rsidDel="00000000" w:rsidR="00000000" w:rsidRPr="00000000">
        <w:rPr>
          <w:rtl w:val="0"/>
        </w:rPr>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r w:rsidDel="00000000" w:rsidR="00000000" w:rsidRPr="00000000">
        <w:rPr>
          <w:rtl w:val="0"/>
        </w:rPr>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any of the following:</w:t>
      </w:r>
      <w:r w:rsidDel="00000000" w:rsidR="00000000" w:rsidRPr="00000000">
        <w:rPr>
          <w:rtl w:val="0"/>
        </w:rPr>
      </w:r>
    </w:p>
    <w:p w:rsidR="00000000" w:rsidDel="00000000" w:rsidP="00000000" w:rsidRDefault="00000000" w:rsidRPr="00000000" w14:paraId="0000003D">
      <w:pPr>
        <w:numPr>
          <w:ilvl w:val="3"/>
          <w:numId w:val="2"/>
        </w:numPr>
        <w:pBdr>
          <w:top w:space="0" w:sz="0" w:val="nil"/>
          <w:left w:space="0" w:sz="0" w:val="nil"/>
          <w:bottom w:space="0" w:sz="0" w:val="nil"/>
          <w:right w:space="0" w:sz="0" w:val="nil"/>
          <w:between w:space="0" w:sz="0" w:val="nil"/>
        </w:pBdr>
        <w:tabs>
          <w:tab w:val="left" w:leader="none" w:pos="1985"/>
          <w:tab w:val="left" w:leader="none" w:pos="720"/>
        </w:tabs>
        <w:spacing w:after="120" w:before="120" w:lineRule="auto"/>
        <w:ind w:left="2268" w:hanging="566"/>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r w:rsidDel="00000000" w:rsidR="00000000" w:rsidRPr="00000000">
        <w:rPr>
          <w:rtl w:val="0"/>
        </w:rPr>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tabs>
          <w:tab w:val="left" w:leader="none" w:pos="1985"/>
          <w:tab w:val="left" w:leader="none" w:pos="720"/>
        </w:tabs>
        <w:spacing w:after="120" w:before="120" w:lineRule="auto"/>
        <w:ind w:left="2268" w:hanging="566"/>
        <w:rPr/>
      </w:pPr>
      <w:r w:rsidDel="00000000" w:rsidR="00000000" w:rsidRPr="00000000">
        <w:rPr>
          <w:rFonts w:ascii="Arial" w:cs="Arial" w:eastAsia="Arial" w:hAnsi="Arial"/>
          <w:color w:val="000000"/>
          <w:sz w:val="24"/>
          <w:szCs w:val="24"/>
          <w:rtl w:val="0"/>
        </w:rPr>
        <w:t xml:space="preserve">non-payment by an FDE Group entity of any financial indebtedness;</w:t>
      </w:r>
      <w:r w:rsidDel="00000000" w:rsidR="00000000" w:rsidRPr="00000000">
        <w:rPr>
          <w:rtl w:val="0"/>
        </w:rPr>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 w:val="left" w:leader="none" w:pos="720"/>
        </w:tabs>
        <w:spacing w:after="120" w:before="120" w:lineRule="auto"/>
        <w:ind w:left="2268" w:hanging="566"/>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r w:rsidDel="00000000" w:rsidR="00000000" w:rsidRPr="00000000">
        <w:rPr>
          <w:rtl w:val="0"/>
        </w:rPr>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 w:val="left" w:leader="none" w:pos="720"/>
        </w:tabs>
        <w:spacing w:after="120" w:before="120" w:lineRule="auto"/>
        <w:ind w:left="2268" w:hanging="566"/>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r w:rsidDel="00000000" w:rsidR="00000000" w:rsidRPr="00000000">
        <w:rPr>
          <w:rtl w:val="0"/>
        </w:rPr>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 w:val="left" w:leader="none" w:pos="720"/>
        </w:tabs>
        <w:spacing w:after="120" w:before="120" w:lineRule="auto"/>
        <w:ind w:left="2268" w:hanging="566"/>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 w:val="left" w:leader="none" w:pos="720"/>
        </w:tabs>
        <w:spacing w:after="120" w:before="120" w:lineRule="auto"/>
        <w:ind w:left="226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851" w:hanging="567"/>
        <w:jc w:val="left"/>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of Financial Distress Events</w:t>
      </w:r>
      <w:r w:rsidDel="00000000" w:rsidR="00000000" w:rsidRPr="00000000">
        <w:rPr>
          <w:rtl w:val="0"/>
        </w:rPr>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r w:rsidDel="00000000" w:rsidR="00000000" w:rsidRPr="00000000">
        <w:rPr>
          <w:rtl w:val="0"/>
        </w:rPr>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r w:rsidDel="00000000" w:rsidR="00000000" w:rsidRPr="00000000">
        <w:rPr>
          <w:rtl w:val="0"/>
        </w:rPr>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rectify such late or non-payment; or</w:t>
      </w:r>
      <w:r w:rsidDel="00000000" w:rsidR="00000000" w:rsidRPr="00000000">
        <w:rPr>
          <w:rtl w:val="0"/>
        </w:rPr>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r w:rsidDel="00000000" w:rsidR="00000000" w:rsidRPr="00000000">
        <w:rPr>
          <w:rtl w:val="0"/>
        </w:rPr>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r w:rsidDel="00000000" w:rsidR="00000000" w:rsidRPr="00000000">
        <w:rPr>
          <w:rtl w:val="0"/>
        </w:rPr>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r w:rsidDel="00000000" w:rsidR="00000000" w:rsidRPr="00000000">
        <w:rPr>
          <w:rtl w:val="0"/>
        </w:rPr>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tabs>
          <w:tab w:val="left" w:leader="none" w:pos="1985"/>
          <w:tab w:val="left" w:leader="none" w:pos="720"/>
        </w:tabs>
        <w:spacing w:after="120" w:before="120" w:lineRule="auto"/>
        <w:ind w:left="2268" w:hanging="566"/>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r w:rsidDel="00000000" w:rsidR="00000000" w:rsidRPr="00000000">
        <w:rPr>
          <w:rtl w:val="0"/>
        </w:rPr>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leader="none" w:pos="1985"/>
          <w:tab w:val="left" w:leader="none" w:pos="720"/>
        </w:tabs>
        <w:spacing w:after="120" w:before="120" w:lineRule="auto"/>
        <w:ind w:left="2268" w:hanging="566"/>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r w:rsidDel="00000000" w:rsidR="00000000" w:rsidRPr="00000000">
        <w:rPr>
          <w:rtl w:val="0"/>
        </w:rPr>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r w:rsidDel="00000000" w:rsidR="00000000" w:rsidRPr="00000000">
        <w:rPr>
          <w:rtl w:val="0"/>
        </w:rPr>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w:t>
      </w:r>
      <w:r w:rsidDel="00000000" w:rsidR="00000000" w:rsidRPr="00000000">
        <w:rPr>
          <w:rFonts w:ascii="Arial" w:cs="Arial" w:eastAsia="Arial" w:hAnsi="Arial"/>
          <w:i w:val="1"/>
          <w:color w:val="000000"/>
          <w:sz w:val="24"/>
          <w:szCs w:val="24"/>
          <w:rtl w:val="0"/>
        </w:rPr>
        <w:t xml:space="preserve">Resolving disputes</w:t>
      </w:r>
      <w:r w:rsidDel="00000000" w:rsidR="00000000" w:rsidRPr="00000000">
        <w:rPr>
          <w:rFonts w:ascii="Arial" w:cs="Arial" w:eastAsia="Arial" w:hAnsi="Arial"/>
          <w:color w:val="000000"/>
          <w:sz w:val="24"/>
          <w:szCs w:val="24"/>
          <w:rtl w:val="0"/>
        </w:rPr>
        <w:t xml:space="preserve">) of the Core Terms.</w:t>
      </w:r>
      <w:r w:rsidDel="00000000" w:rsidR="00000000" w:rsidRPr="00000000">
        <w:rPr>
          <w:rtl w:val="0"/>
        </w:rPr>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r w:rsidDel="00000000" w:rsidR="00000000" w:rsidRPr="00000000">
        <w:rPr>
          <w:rtl w:val="0"/>
        </w:rPr>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on a regular basis (which shall not be less than fortnightly):</w:t>
      </w:r>
      <w:r w:rsidDel="00000000" w:rsidR="00000000" w:rsidRPr="00000000">
        <w:rPr>
          <w:rtl w:val="0"/>
        </w:rPr>
      </w:r>
    </w:p>
    <w:p w:rsidR="00000000" w:rsidDel="00000000" w:rsidP="00000000" w:rsidRDefault="00000000" w:rsidRPr="00000000" w14:paraId="00000052">
      <w:pPr>
        <w:numPr>
          <w:ilvl w:val="3"/>
          <w:numId w:val="2"/>
        </w:numPr>
        <w:pBdr>
          <w:top w:space="0" w:sz="0" w:val="nil"/>
          <w:left w:space="0" w:sz="0" w:val="nil"/>
          <w:bottom w:space="0" w:sz="0" w:val="nil"/>
          <w:right w:space="0" w:sz="0" w:val="nil"/>
          <w:between w:space="0" w:sz="0" w:val="nil"/>
        </w:pBdr>
        <w:tabs>
          <w:tab w:val="left" w:leader="none" w:pos="1985"/>
          <w:tab w:val="left" w:leader="none" w:pos="720"/>
        </w:tabs>
        <w:spacing w:after="120" w:before="120" w:lineRule="auto"/>
        <w:ind w:left="2268" w:hanging="566"/>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r w:rsidDel="00000000" w:rsidR="00000000" w:rsidRPr="00000000">
        <w:rPr>
          <w:rtl w:val="0"/>
        </w:rPr>
      </w:r>
    </w:p>
    <w:p w:rsidR="00000000" w:rsidDel="00000000" w:rsidP="00000000" w:rsidRDefault="00000000" w:rsidRPr="00000000" w14:paraId="00000053">
      <w:pPr>
        <w:numPr>
          <w:ilvl w:val="3"/>
          <w:numId w:val="2"/>
        </w:numPr>
        <w:pBdr>
          <w:top w:space="0" w:sz="0" w:val="nil"/>
          <w:left w:space="0" w:sz="0" w:val="nil"/>
          <w:bottom w:space="0" w:sz="0" w:val="nil"/>
          <w:right w:space="0" w:sz="0" w:val="nil"/>
          <w:between w:space="0" w:sz="0" w:val="nil"/>
        </w:pBdr>
        <w:tabs>
          <w:tab w:val="left" w:leader="none" w:pos="1985"/>
          <w:tab w:val="left" w:leader="none" w:pos="720"/>
        </w:tabs>
        <w:spacing w:after="120" w:before="120" w:lineRule="auto"/>
        <w:ind w:left="2268" w:hanging="566"/>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985"/>
          <w:tab w:val="left" w:leader="none" w:pos="720"/>
        </w:tabs>
        <w:spacing w:after="120" w:before="120" w:lineRule="auto"/>
        <w:ind w:left="226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r w:rsidDel="00000000" w:rsidR="00000000" w:rsidRPr="00000000">
        <w:rPr>
          <w:rtl w:val="0"/>
        </w:rPr>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r w:rsidDel="00000000" w:rsidR="00000000" w:rsidRPr="00000000">
        <w:rPr>
          <w:rtl w:val="0"/>
        </w:rPr>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r w:rsidDel="00000000" w:rsidR="00000000" w:rsidRPr="00000000">
        <w:rPr>
          <w:rtl w:val="0"/>
        </w:rPr>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r w:rsidDel="00000000" w:rsidR="00000000" w:rsidRPr="00000000">
        <w:rPr>
          <w:rtl w:val="0"/>
        </w:rPr>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r w:rsidDel="00000000" w:rsidR="00000000" w:rsidRPr="00000000">
        <w:rPr>
          <w:rtl w:val="0"/>
        </w:rPr>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r w:rsidDel="00000000" w:rsidR="00000000" w:rsidRPr="00000000">
        <w:rPr>
          <w:rtl w:val="0"/>
        </w:rPr>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r w:rsidDel="00000000" w:rsidR="00000000" w:rsidRPr="00000000">
        <w:rPr>
          <w:rtl w:val="0"/>
        </w:rPr>
      </w:r>
    </w:p>
    <w:p w:rsidR="00000000" w:rsidDel="00000000" w:rsidP="00000000" w:rsidRDefault="00000000" w:rsidRPr="00000000" w14:paraId="0000005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851" w:hanging="567"/>
        <w:jc w:val="left"/>
        <w:rPr/>
      </w:pPr>
      <w:r w:rsidDel="00000000" w:rsidR="00000000" w:rsidRPr="00000000">
        <w:rPr>
          <w:rFonts w:ascii="Arial Bold" w:cs="Arial Bold" w:eastAsia="Arial Bold" w:hAnsi="Arial Bold"/>
          <w:b w:val="1"/>
          <w:color w:val="000000"/>
          <w:sz w:val="24"/>
          <w:szCs w:val="24"/>
          <w:rtl w:val="0"/>
        </w:rPr>
        <w:t xml:space="preserve">Financial Indicators</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Category Guidance:</w:t>
      </w:r>
      <w:r w:rsidDel="00000000" w:rsidR="00000000" w:rsidRPr="00000000">
        <w:rPr>
          <w:rFonts w:ascii="Arial" w:cs="Arial" w:eastAsia="Arial" w:hAnsi="Arial"/>
          <w:color w:val="000000"/>
          <w:sz w:val="24"/>
          <w:szCs w:val="24"/>
          <w:highlight w:val="yellow"/>
          <w:rtl w:val="0"/>
        </w:rPr>
        <w:t xml:space="preserve"> The Financial Indicators for your agreement will be agreed with CCS Commercial Finance as part of your agreement design process, this may include additional Financial Indicators to those currently shown below.  Remember to drop in the correct figures into the table below from your finalised CCS Tiering Tool, which will be from the ‘high risk’ column unless otherwise directed by Commercial Finance colleagues – please delete this text once complete.]</w:t>
      </w:r>
    </w:p>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5F">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r w:rsidDel="00000000" w:rsidR="00000000" w:rsidRPr="00000000">
        <w:rPr>
          <w:rtl w:val="0"/>
        </w:rPr>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T</w:t>
            </w:r>
            <w:r w:rsidDel="00000000" w:rsidR="00000000" w:rsidRPr="00000000">
              <w:rPr>
                <w:rFonts w:ascii="Arial" w:cs="Arial" w:eastAsia="Arial" w:hAnsi="Arial"/>
                <w:b w:val="1"/>
                <w:sz w:val="24"/>
                <w:szCs w:val="24"/>
                <w:rtl w:val="0"/>
              </w:rPr>
              <w:t xml:space="preserve">rigger</w:t>
            </w:r>
            <w:r w:rsidDel="00000000" w:rsidR="00000000" w:rsidRPr="00000000">
              <w:rPr>
                <w:rFonts w:ascii="Arial" w:cs="Arial" w:eastAsia="Arial" w:hAnsi="Arial"/>
                <w:b w:val="1"/>
                <w:color w:val="000000"/>
                <w:sz w:val="24"/>
                <w:szCs w:val="24"/>
                <w:rtl w:val="0"/>
              </w:rPr>
              <w:t xml:space="preserve"> Threshold:</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shd w:fill="cccccc" w:val="clear"/>
              </w:rPr>
            </w:pPr>
            <w:r w:rsidDel="00000000" w:rsidR="00000000" w:rsidRPr="00000000">
              <w:rPr>
                <w:rFonts w:ascii="Arial" w:cs="Arial" w:eastAsia="Arial" w:hAnsi="Arial"/>
                <w:b w:val="1"/>
                <w:color w:val="000000"/>
                <w:sz w:val="24"/>
                <w:szCs w:val="24"/>
                <w:rtl w:val="0"/>
              </w:rPr>
              <w:t xml:space="preserve">Monitoring and </w:t>
            </w:r>
            <w:r w:rsidDel="00000000" w:rsidR="00000000" w:rsidRPr="00000000">
              <w:rPr>
                <w:rFonts w:ascii="Arial" w:cs="Arial" w:eastAsia="Arial" w:hAnsi="Arial"/>
                <w:b w:val="1"/>
                <w:color w:val="000000"/>
                <w:sz w:val="24"/>
                <w:szCs w:val="24"/>
                <w:shd w:fill="cccccc" w:val="clear"/>
                <w:rtl w:val="0"/>
              </w:rPr>
              <w:t xml:space="preserve">Reporting Frequency [if different from the default position set out in Paragraph </w:t>
            </w:r>
            <w:r w:rsidDel="00000000" w:rsidR="00000000" w:rsidRPr="00000000">
              <w:rPr>
                <w:rFonts w:ascii="Arial" w:cs="Arial" w:eastAsia="Arial" w:hAnsi="Arial"/>
                <w:b w:val="1"/>
                <w:sz w:val="24"/>
                <w:szCs w:val="24"/>
                <w:shd w:fill="cccccc" w:val="clear"/>
                <w:rtl w:val="0"/>
              </w:rPr>
              <w:t xml:space="preserve">2.3.2</w:t>
            </w:r>
            <w:r w:rsidDel="00000000" w:rsidR="00000000" w:rsidRPr="00000000">
              <w:rPr>
                <w:rFonts w:ascii="Arial" w:cs="Arial" w:eastAsia="Arial" w:hAnsi="Arial"/>
                <w:b w:val="1"/>
                <w:color w:val="000000"/>
                <w:sz w:val="24"/>
                <w:szCs w:val="24"/>
                <w:shd w:fill="cccccc" w:val="clear"/>
                <w:rtl w:val="0"/>
              </w:rPr>
              <w:t xml:space="preserve">]</w:t>
            </w:r>
          </w:p>
        </w:tc>
      </w:tr>
    </w:tbl>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after="0" w:line="276" w:lineRule="auto"/>
        <w:jc w:val="left"/>
        <w:rPr>
          <w:rFonts w:ascii="Arial" w:cs="Arial" w:eastAsia="Arial" w:hAnsi="Arial"/>
          <w:b w:val="1"/>
          <w:color w:val="000000"/>
          <w:sz w:val="24"/>
          <w:szCs w:val="24"/>
        </w:rPr>
      </w:pPr>
      <w:r w:rsidDel="00000000" w:rsidR="00000000" w:rsidRPr="00000000">
        <w:rPr>
          <w:rtl w:val="0"/>
        </w:rPr>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[Operating Margin = Operating Profit / Revenue]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sz w:val="24"/>
                <w:szCs w:val="24"/>
                <w:rtl w:val="0"/>
              </w:rPr>
              <w:t xml:space="preserve">&lt;</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sz w:val="24"/>
                <w:szCs w:val="24"/>
                <w:rtl w:val="0"/>
              </w:rPr>
              <w:t xml:space="preserve">1</w:t>
            </w:r>
            <w:r w:rsidDel="00000000" w:rsidR="00000000" w:rsidRPr="00000000">
              <w:rPr>
                <w:rFonts w:ascii="Arial" w:cs="Arial" w:eastAsia="Arial" w:hAnsi="Arial"/>
                <w:i w:val="1"/>
                <w:color w:val="000000"/>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yearly</w:t>
            </w:r>
            <w:r w:rsidDel="00000000" w:rsidR="00000000" w:rsidRPr="00000000">
              <w:rPr>
                <w:rtl w:val="0"/>
              </w:rPr>
              <w:t xml:space="preserve">     </w:t>
            </w:r>
            <w:r w:rsidDel="00000000" w:rsidR="00000000" w:rsidRPr="00000000">
              <w:rPr>
                <w:rFonts w:ascii="Arial" w:cs="Arial" w:eastAsia="Arial" w:hAnsi="Arial"/>
                <w:i w:val="1"/>
                <w:color w:val="000000"/>
                <w:sz w:val="24"/>
                <w:szCs w:val="24"/>
                <w:rtl w:val="0"/>
              </w:rPr>
              <w:t xml:space="preserve"> in arrears within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120</w:t>
            </w:r>
            <w:r w:rsidDel="00000000" w:rsidR="00000000" w:rsidRPr="00000000">
              <w:rPr>
                <w:rtl w:val="0"/>
              </w:rPr>
              <w:t xml:space="preserve">     </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tl w:val="0"/>
              </w:rPr>
              <w:t xml:space="preserve">     </w:t>
            </w:r>
            <w:r w:rsidDel="00000000" w:rsidR="00000000" w:rsidRPr="00000000">
              <w:rPr>
                <w:rFonts w:ascii="Arial" w:cs="Arial" w:eastAsia="Arial" w:hAnsi="Arial"/>
                <w:i w:val="1"/>
                <w:color w:val="000000"/>
                <w:sz w:val="24"/>
                <w:szCs w:val="24"/>
                <w:rtl w:val="0"/>
              </w:rPr>
              <w:t xml:space="preserve">based upon figures for the 12 months ending on the relevant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7030a0"/>
                <w:sz w:val="24"/>
                <w:szCs w:val="24"/>
              </w:rPr>
            </w:pPr>
            <w:r w:rsidDel="00000000" w:rsidR="00000000" w:rsidRPr="00000000">
              <w:rPr>
                <w:rFonts w:ascii="Arial" w:cs="Arial" w:eastAsia="Arial" w:hAnsi="Arial"/>
                <w:b w:val="1"/>
                <w:color w:val="000000"/>
                <w:sz w:val="24"/>
                <w:szCs w:val="24"/>
                <w:rtl w:val="0"/>
              </w:rPr>
              <w:t xml:space="preserve">2</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7030a0"/>
                <w:sz w:val="24"/>
                <w:szCs w:val="2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to EBITDA ratio = Net Debt / EBITDA]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sz w:val="24"/>
                <w:szCs w:val="24"/>
                <w:rtl w:val="0"/>
              </w:rPr>
              <w:t xml:space="preserve">&gt;</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sz w:val="24"/>
                <w:szCs w:val="24"/>
                <w:rtl w:val="0"/>
              </w:rPr>
              <w:t xml:space="preserve">3.5</w:t>
            </w:r>
            <w:r w:rsidDel="00000000" w:rsidR="00000000" w:rsidRPr="00000000">
              <w:rPr>
                <w:rFonts w:ascii="Arial" w:cs="Arial" w:eastAsia="Arial" w:hAnsi="Arial"/>
                <w:i w:val="1"/>
                <w:color w:val="000000"/>
                <w:sz w:val="24"/>
                <w:szCs w:val="24"/>
                <w:rtl w:val="0"/>
              </w:rPr>
              <w:t xml:space="preserve">]] 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yearly</w:t>
            </w:r>
            <w:r w:rsidDel="00000000" w:rsidR="00000000" w:rsidRPr="00000000">
              <w:rPr>
                <w:rtl w:val="0"/>
              </w:rPr>
              <w:t xml:space="preserve">     </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tl w:val="0"/>
              </w:rPr>
              <w:t xml:space="preserve">     </w:t>
            </w:r>
            <w:r w:rsidDel="00000000" w:rsidR="00000000" w:rsidRPr="00000000">
              <w:rPr>
                <w:rFonts w:ascii="Arial" w:cs="Arial" w:eastAsia="Arial" w:hAnsi="Arial"/>
                <w:i w:val="1"/>
                <w:color w:val="7030a0"/>
                <w:sz w:val="24"/>
                <w:szCs w:val="24"/>
                <w:highlight w:val="yellow"/>
                <w:rtl w:val="0"/>
              </w:rPr>
              <w:t xml:space="preserve">120</w:t>
            </w:r>
            <w:r w:rsidDel="00000000" w:rsidR="00000000" w:rsidRPr="00000000">
              <w:rPr>
                <w:rtl w:val="0"/>
              </w:rPr>
              <w:t xml:space="preserve">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tl w:val="0"/>
              </w:rPr>
              <w:t xml:space="preserve">     </w:t>
            </w:r>
            <w:r w:rsidDel="00000000" w:rsidR="00000000" w:rsidRPr="00000000">
              <w:rPr>
                <w:rFonts w:ascii="Arial" w:cs="Arial" w:eastAsia="Arial" w:hAnsi="Arial"/>
                <w:i w:val="1"/>
                <w:color w:val="000000"/>
                <w:sz w:val="24"/>
                <w:szCs w:val="24"/>
                <w:rtl w:val="0"/>
              </w:rPr>
              <w:t xml:space="preserve"> based upon </w:t>
            </w:r>
            <w:r w:rsidDel="00000000" w:rsidR="00000000" w:rsidRPr="00000000">
              <w:rPr>
                <w:rFonts w:ascii="Arial" w:cs="Arial" w:eastAsia="Arial" w:hAnsi="Arial"/>
                <w:i w:val="1"/>
                <w:color w:val="7030a0"/>
                <w:sz w:val="24"/>
                <w:szCs w:val="24"/>
                <w:highlight w:val="yellow"/>
                <w:rtl w:val="0"/>
              </w:rPr>
              <w:t xml:space="preserve">[Free Cash Flow /</w:t>
            </w:r>
            <w:r w:rsidDel="00000000" w:rsidR="00000000" w:rsidRPr="00000000">
              <w:rPr>
                <w:rFonts w:ascii="Arial" w:cs="Arial" w:eastAsia="Arial" w:hAnsi="Arial"/>
                <w:i w:val="1"/>
                <w:color w:val="000000"/>
                <w:sz w:val="24"/>
                <w:szCs w:val="24"/>
                <w:highlight w:val="yellow"/>
                <w:rtl w:val="0"/>
              </w:rPr>
              <w:t xml:space="preserve"> EBITDA]</w:t>
            </w:r>
            <w:r w:rsidDel="00000000" w:rsidR="00000000" w:rsidRPr="00000000">
              <w:rPr>
                <w:rFonts w:ascii="Arial" w:cs="Arial" w:eastAsia="Arial" w:hAnsi="Arial"/>
                <w:i w:val="1"/>
                <w:color w:val="000000"/>
                <w:sz w:val="24"/>
                <w:szCs w:val="24"/>
                <w:rtl w:val="0"/>
              </w:rPr>
              <w:t xml:space="preserve"> for the 12 months ending on, and Net Debt at, the relevant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 Net Pension Deficit to EBITDA Ratio = (Net Debt + Net Pension Deficit) / EBITDA]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sz w:val="24"/>
                <w:szCs w:val="24"/>
                <w:rtl w:val="0"/>
              </w:rPr>
              <w:t xml:space="preserve">&gt;</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sz w:val="24"/>
                <w:szCs w:val="24"/>
                <w:rtl w:val="0"/>
              </w:rPr>
              <w:t xml:space="preserve">5</w:t>
            </w:r>
            <w:r w:rsidDel="00000000" w:rsidR="00000000" w:rsidRPr="00000000">
              <w:rPr>
                <w:rFonts w:ascii="Arial" w:cs="Arial" w:eastAsia="Arial" w:hAnsi="Arial"/>
                <w:i w:val="1"/>
                <w:color w:val="000000"/>
                <w:sz w:val="24"/>
                <w:szCs w:val="24"/>
                <w:rtl w:val="0"/>
              </w:rPr>
              <w:t xml:space="preserve">]] 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w:t>
            </w:r>
            <w:r w:rsidDel="00000000" w:rsidR="00000000" w:rsidRPr="00000000">
              <w:rPr>
                <w:rFonts w:ascii="Arial" w:cs="Arial" w:eastAsia="Arial" w:hAnsi="Arial"/>
                <w:i w:val="1"/>
                <w:color w:val="f79646"/>
                <w:sz w:val="24"/>
                <w:szCs w:val="24"/>
                <w:rtl w:val="0"/>
              </w:rPr>
              <w:t xml:space="preserve">90 </w:t>
            </w:r>
            <w:r w:rsidDel="00000000" w:rsidR="00000000" w:rsidRPr="00000000">
              <w:rPr>
                <w:rFonts w:ascii="Arial" w:cs="Arial" w:eastAsia="Arial" w:hAnsi="Arial"/>
                <w:i w:val="1"/>
                <w:color w:val="000000"/>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sz w:val="24"/>
                <w:szCs w:val="24"/>
                <w:rtl w:val="0"/>
              </w:rPr>
              <w:t xml:space="preserve">&lt;</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sz w:val="24"/>
                <w:szCs w:val="24"/>
                <w:rtl w:val="0"/>
              </w:rPr>
              <w:t xml:space="preserve">3</w:t>
            </w:r>
            <w:r w:rsidDel="00000000" w:rsidR="00000000" w:rsidRPr="00000000">
              <w:rPr>
                <w:rFonts w:ascii="Arial" w:cs="Arial" w:eastAsia="Arial" w:hAnsi="Arial"/>
                <w:i w:val="1"/>
                <w:color w:val="000000"/>
                <w:sz w:val="24"/>
                <w:szCs w:val="24"/>
                <w:rtl w:val="0"/>
              </w:rPr>
              <w:t xml:space="preserve">]] 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yearly</w:t>
            </w:r>
            <w:r w:rsidDel="00000000" w:rsidR="00000000" w:rsidRPr="00000000">
              <w:rPr>
                <w:rtl w:val="0"/>
              </w:rPr>
              <w:t xml:space="preserve">     </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w:t>
            </w:r>
            <w:r w:rsidDel="00000000" w:rsidR="00000000" w:rsidRPr="00000000">
              <w:rPr>
                <w:rtl w:val="0"/>
              </w:rPr>
              <w:t xml:space="preserve">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tl w:val="0"/>
              </w:rPr>
              <w:t xml:space="preserve">     </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[Acid Ratio = (Current Assets – Inventories) / Current Liabilities]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sz w:val="24"/>
                <w:szCs w:val="24"/>
                <w:rtl w:val="0"/>
              </w:rPr>
              <w:t xml:space="preserve">&lt;</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sz w:val="24"/>
                <w:szCs w:val="24"/>
                <w:rtl w:val="0"/>
              </w:rPr>
              <w:t xml:space="preserve">0.8</w:t>
            </w:r>
            <w:r w:rsidDel="00000000" w:rsidR="00000000" w:rsidRPr="00000000">
              <w:rPr>
                <w:rFonts w:ascii="Arial" w:cs="Arial" w:eastAsia="Arial" w:hAnsi="Arial"/>
                <w:i w:val="1"/>
                <w:color w:val="000000"/>
                <w:sz w:val="24"/>
                <w:szCs w:val="24"/>
                <w:rtl w:val="0"/>
              </w:rPr>
              <w:t xml:space="preserve">]] 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yearly</w:t>
            </w:r>
            <w:r w:rsidDel="00000000" w:rsidR="00000000" w:rsidRPr="00000000">
              <w:rPr>
                <w:rtl w:val="0"/>
              </w:rPr>
              <w:t xml:space="preserve">               </w:t>
            </w:r>
            <w:r w:rsidDel="00000000" w:rsidR="00000000" w:rsidRPr="00000000">
              <w:rPr>
                <w:rFonts w:ascii="Arial" w:cs="Arial" w:eastAsia="Arial" w:hAnsi="Arial"/>
                <w:i w:val="1"/>
                <w:color w:val="000000"/>
                <w:sz w:val="24"/>
                <w:szCs w:val="24"/>
                <w:rtl w:val="0"/>
              </w:rPr>
              <w:t xml:space="preserve">n arrears within </w:t>
            </w:r>
            <w:r w:rsidDel="00000000" w:rsidR="00000000" w:rsidRPr="00000000">
              <w:rPr>
                <w:rtl w:val="0"/>
              </w:rPr>
              <w:t xml:space="preserve">     </w:t>
            </w:r>
            <w:r w:rsidDel="00000000" w:rsidR="00000000" w:rsidRPr="00000000">
              <w:rPr>
                <w:rFonts w:ascii="Arial" w:cs="Arial" w:eastAsia="Arial" w:hAnsi="Arial"/>
                <w:i w:val="1"/>
                <w:color w:val="8064a2"/>
                <w:sz w:val="24"/>
                <w:szCs w:val="24"/>
                <w:highlight w:val="yellow"/>
                <w:rtl w:val="0"/>
              </w:rPr>
              <w:t xml:space="preserve">120</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Asset Value = Net Assets]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sz w:val="24"/>
                <w:szCs w:val="24"/>
                <w:rtl w:val="0"/>
              </w:rPr>
              <w:t xml:space="preserve">&lt;</w:t>
            </w:r>
            <w:r w:rsidDel="00000000" w:rsidR="00000000" w:rsidRPr="00000000">
              <w:rPr>
                <w:rFonts w:ascii="Arial" w:cs="Arial" w:eastAsia="Arial" w:hAnsi="Arial"/>
                <w:i w:val="1"/>
                <w:color w:val="000000"/>
                <w:sz w:val="24"/>
                <w:szCs w:val="24"/>
                <w:rtl w:val="0"/>
              </w:rPr>
              <w:t xml:space="preserve"> £0]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yearly</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tl w:val="0"/>
              </w:rPr>
              <w:t xml:space="preserve">     </w:t>
            </w:r>
            <w:r w:rsidDel="00000000" w:rsidR="00000000" w:rsidRPr="00000000">
              <w:rPr>
                <w:rFonts w:ascii="Arial" w:cs="Arial" w:eastAsia="Arial" w:hAnsi="Arial"/>
                <w:i w:val="1"/>
                <w:color w:val="8064a2"/>
                <w:sz w:val="24"/>
                <w:szCs w:val="24"/>
                <w:highlight w:val="yellow"/>
                <w:rtl w:val="0"/>
              </w:rPr>
              <w:t xml:space="preserve">120</w:t>
            </w:r>
            <w:r w:rsidDel="00000000" w:rsidR="00000000" w:rsidRPr="00000000">
              <w:rPr>
                <w:rtl w:val="0"/>
              </w:rPr>
              <w:t xml:space="preserve">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tl w:val="0"/>
              </w:rPr>
              <w:t xml:space="preserve">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[Group Exposure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[Group Exposure / Gross Assets]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sz w:val="24"/>
                <w:szCs w:val="24"/>
                <w:highlight w:val="yellow"/>
                <w:rtl w:val="0"/>
              </w:rPr>
              <w:t xml:space="preserve">&gt;</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sz w:val="24"/>
                <w:szCs w:val="24"/>
                <w:highlight w:val="yellow"/>
                <w:rtl w:val="0"/>
              </w:rPr>
              <w:t xml:space="preserve">50</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4"/>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91">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Financial Indicators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(these are the Financial Indicators from the table in Paragraph 5.1 which are to apply to the Monitored Suppliers)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Member, Sub-contractor, Relevant Parent Company]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 Operating Margin]</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 etc..]</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[3][4][5][6][7][8][etc..]</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tl w:val="0"/>
              </w:rPr>
            </w:r>
          </w:p>
        </w:tc>
      </w:tr>
    </w:tbl>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9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851" w:hanging="567"/>
        <w:jc w:val="left"/>
        <w:rPr/>
      </w:pPr>
      <w:r w:rsidDel="00000000" w:rsidR="00000000" w:rsidRPr="00000000">
        <w:rPr>
          <w:rFonts w:ascii="Arial Bold" w:cs="Arial Bold" w:eastAsia="Arial Bold" w:hAnsi="Arial Bold"/>
          <w:b w:val="1"/>
          <w:color w:val="000000"/>
          <w:sz w:val="24"/>
          <w:szCs w:val="24"/>
          <w:rtl w:val="0"/>
        </w:rPr>
        <w:t xml:space="preserve">Termination rights</w:t>
      </w:r>
      <w:r w:rsidDel="00000000" w:rsidR="00000000" w:rsidRPr="00000000">
        <w:rPr>
          <w:rtl w:val="0"/>
        </w:rPr>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Relevant Authority shall be entitled to terminate the Contract if:</w:t>
      </w:r>
      <w:r w:rsidDel="00000000" w:rsidR="00000000" w:rsidRPr="00000000">
        <w:rPr>
          <w:rtl w:val="0"/>
        </w:rPr>
      </w:r>
    </w:p>
    <w:p w:rsidR="00000000" w:rsidDel="00000000" w:rsidP="00000000" w:rsidRDefault="00000000" w:rsidRPr="00000000" w14:paraId="0000009E">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r w:rsidDel="00000000" w:rsidR="00000000" w:rsidRPr="00000000">
        <w:rPr>
          <w:rtl w:val="0"/>
        </w:rPr>
      </w:r>
    </w:p>
    <w:p w:rsidR="00000000" w:rsidDel="00000000" w:rsidP="00000000" w:rsidRDefault="00000000" w:rsidRPr="00000000" w14:paraId="0000009F">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r w:rsidDel="00000000" w:rsidR="00000000" w:rsidRPr="00000000">
        <w:rPr>
          <w:rtl w:val="0"/>
        </w:rPr>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4.6.2,</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134"/>
        </w:tabs>
        <w:spacing w:after="120" w:before="120" w:lineRule="auto"/>
        <w:ind w:left="851"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851" w:hanging="567"/>
        <w:jc w:val="left"/>
        <w:rPr/>
      </w:pPr>
      <w:r w:rsidDel="00000000" w:rsidR="00000000" w:rsidRPr="00000000">
        <w:rPr>
          <w:rFonts w:ascii="Arial Bold" w:cs="Arial Bold" w:eastAsia="Arial Bold" w:hAnsi="Arial Bold"/>
          <w:b w:val="1"/>
          <w:color w:val="000000"/>
          <w:sz w:val="24"/>
          <w:szCs w:val="24"/>
          <w:rtl w:val="0"/>
        </w:rPr>
        <w:t xml:space="preserve">Primacy of Credit Ratings</w:t>
      </w:r>
      <w:r w:rsidDel="00000000" w:rsidR="00000000" w:rsidRPr="00000000">
        <w:rPr>
          <w:rtl w:val="0"/>
        </w:rPr>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r w:rsidDel="00000000" w:rsidR="00000000" w:rsidRPr="00000000">
        <w:rPr>
          <w:rtl w:val="0"/>
        </w:rPr>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r w:rsidDel="00000000" w:rsidR="00000000" w:rsidRPr="00000000">
        <w:rPr>
          <w:rtl w:val="0"/>
        </w:rPr>
      </w:r>
    </w:p>
    <w:p w:rsidR="00000000" w:rsidDel="00000000" w:rsidP="00000000" w:rsidRDefault="00000000" w:rsidRPr="00000000" w14:paraId="000000A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851" w:hanging="567"/>
        <w:jc w:val="left"/>
        <w:rPr/>
      </w:pPr>
      <w:r w:rsidDel="00000000" w:rsidR="00000000" w:rsidRPr="00000000">
        <w:rPr>
          <w:rFonts w:ascii="Arial Bold" w:cs="Arial Bold" w:eastAsia="Arial Bold" w:hAnsi="Arial Bold"/>
          <w:b w:val="1"/>
          <w:color w:val="000000"/>
          <w:sz w:val="24"/>
          <w:szCs w:val="24"/>
          <w:rtl w:val="0"/>
        </w:rPr>
        <w:t xml:space="preserve">Board confirmation</w:t>
      </w:r>
      <w:r w:rsidDel="00000000" w:rsidR="00000000" w:rsidRPr="00000000">
        <w:rPr>
          <w:rtl w:val="0"/>
        </w:rPr>
      </w:r>
    </w:p>
    <w:p w:rsidR="00000000" w:rsidDel="00000000" w:rsidP="00000000" w:rsidRDefault="00000000" w:rsidRPr="00000000" w14:paraId="000000A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highlight w:val="yellow"/>
          <w:rtl w:val="0"/>
        </w:rPr>
        <w:t xml:space="preserve">If the Contract has been specified as a Critical Service Contract under Paragraph 1.1 of Call-Off Schedule 8 (Corporate Resolution Planning)</w:t>
      </w:r>
      <w:r w:rsidDel="00000000" w:rsidR="00000000" w:rsidRPr="00000000">
        <w:rPr>
          <w:rFonts w:ascii="Arial" w:cs="Arial" w:eastAsia="Arial" w:hAnsi="Arial"/>
          <w:color w:val="000000"/>
          <w:sz w:val="24"/>
          <w:szCs w:val="24"/>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r w:rsidDel="00000000" w:rsidR="00000000" w:rsidRPr="00000000">
        <w:rPr>
          <w:rtl w:val="0"/>
        </w:rPr>
      </w:r>
    </w:p>
    <w:p w:rsidR="00000000" w:rsidDel="00000000" w:rsidP="00000000" w:rsidRDefault="00000000" w:rsidRPr="00000000" w14:paraId="000000A8">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r w:rsidDel="00000000" w:rsidR="00000000" w:rsidRPr="00000000">
        <w:rPr>
          <w:rtl w:val="0"/>
        </w:rPr>
      </w:r>
    </w:p>
    <w:p w:rsidR="00000000" w:rsidDel="00000000" w:rsidP="00000000" w:rsidRDefault="00000000" w:rsidRPr="00000000" w14:paraId="000000A9">
      <w:pPr>
        <w:numPr>
          <w:ilvl w:val="2"/>
          <w:numId w:val="2"/>
        </w:numPr>
        <w:pBdr>
          <w:top w:space="0" w:sz="0" w:val="nil"/>
          <w:left w:space="0" w:sz="0" w:val="nil"/>
          <w:bottom w:space="0" w:sz="0" w:val="nil"/>
          <w:right w:space="0" w:sz="0" w:val="nil"/>
          <w:between w:space="0" w:sz="0" w:val="nil"/>
        </w:pBdr>
        <w:tabs>
          <w:tab w:val="left" w:leader="none" w:pos="1985"/>
          <w:tab w:val="left" w:leader="none" w:pos="1701"/>
        </w:tabs>
        <w:spacing w:after="120" w:before="120" w:lineRule="auto"/>
        <w:ind w:left="1701" w:hanging="850"/>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0A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r w:rsidDel="00000000" w:rsidR="00000000" w:rsidRPr="00000000">
        <w:rPr>
          <w:rtl w:val="0"/>
        </w:rPr>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r w:rsidDel="00000000" w:rsidR="00000000" w:rsidRPr="00000000">
        <w:rPr>
          <w:rtl w:val="0"/>
        </w:rPr>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AE">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A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0">
      <w:pPr>
        <w:spacing w:after="200" w:line="276"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1">
      <w:pPr>
        <w:spacing w:after="200" w:line="276" w:lineRule="auto"/>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Dun &amp; Bradstreet - Rating of 45 required</w:t>
      </w:r>
      <w:r w:rsidDel="00000000" w:rsidR="00000000" w:rsidRPr="00000000">
        <w:br w:type="page"/>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color w:val="000000"/>
          <w:sz w:val="24"/>
          <w:szCs w:val="24"/>
        </w:rPr>
      </w:pPr>
      <w:bookmarkStart w:colFirst="0" w:colLast="0" w:name="_1fob9te" w:id="2"/>
      <w:bookmarkEnd w:id="2"/>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tbl>
      <w:tblPr>
        <w:tblStyle w:val="Table5"/>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spacing w:after="120" w:before="240" w:line="276"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after="120" w:before="240" w:line="276"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spacing w:after="120" w:before="240" w:line="276"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spacing w:after="120" w:before="240" w:line="276"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D&amp;B rating 45</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120" w:before="240" w:line="276"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after="120" w:before="240" w:line="276"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D&amp;B rating 45</w:t>
            </w:r>
          </w:p>
        </w:tc>
      </w:tr>
      <w:tr>
        <w:trPr>
          <w:cantSplit w:val="0"/>
          <w:tblHeader w:val="0"/>
        </w:trPr>
        <w:tc>
          <w:tcPr>
            <w:tcBorders>
              <w:top w:color="000000" w:space="0" w:sz="6" w:val="single"/>
              <w:left w:color="000000" w:space="0" w:sz="4" w:val="single"/>
              <w:bottom w:color="000000" w:space="0" w:sz="4" w:val="single"/>
              <w:right w:color="000000" w:space="0" w:sz="6" w:val="single"/>
            </w:tcBorders>
            <w:shd w:fill="ffffff" w:val="clear"/>
          </w:tcPr>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spacing w:after="120" w:before="240" w:line="276" w:lineRule="auto"/>
              <w:ind w:left="142" w:firstLine="0"/>
              <w:jc w:val="left"/>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tl w:val="0"/>
              </w:rPr>
            </w:r>
          </w:p>
        </w:tc>
        <w:tc>
          <w:tcPr>
            <w:tcBorders>
              <w:top w:color="000000" w:space="0" w:sz="6" w:val="single"/>
              <w:left w:color="000000" w:space="0" w:sz="6" w:val="single"/>
              <w:bottom w:color="000000" w:space="0" w:sz="4" w:val="single"/>
              <w:right w:color="000000" w:space="0" w:sz="4" w:val="single"/>
            </w:tcBorders>
            <w:shd w:fill="ffffff" w:val="clear"/>
          </w:tcPr>
          <w:p w:rsidR="00000000" w:rsidDel="00000000" w:rsidP="00000000" w:rsidRDefault="00000000" w:rsidRPr="00000000" w14:paraId="000000BA">
            <w:pPr>
              <w:keepNext w:val="1"/>
              <w:pBdr>
                <w:top w:space="0" w:sz="0" w:val="nil"/>
                <w:left w:space="0" w:sz="0" w:val="nil"/>
                <w:bottom w:space="0" w:sz="0" w:val="nil"/>
                <w:right w:space="0" w:sz="0" w:val="nil"/>
                <w:between w:space="0" w:sz="0" w:val="nil"/>
              </w:pBdr>
              <w:spacing w:after="120" w:before="240" w:line="276"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bookmarkStart w:colFirst="0" w:colLast="0" w:name="_3znysh7" w:id="3"/>
      <w:bookmarkEnd w:id="3"/>
      <w:r w:rsidDel="00000000" w:rsidR="00000000" w:rsidRPr="00000000">
        <w:rPr>
          <w:rFonts w:ascii="Arial" w:cs="Arial" w:eastAsia="Arial" w:hAnsi="Arial"/>
          <w:b w:val="1"/>
          <w:i w:val="1"/>
          <w:color w:val="000000"/>
          <w:sz w:val="24"/>
          <w:szCs w:val="24"/>
          <w:highlight w:val="yellow"/>
          <w:rtl w:val="0"/>
        </w:rPr>
        <w:t xml:space="preserve">[Guidance: Amend this section as appropriate to reflect the calculation methodology for those Financial Indicators that are selected for inclusion in Paragraph </w:t>
      </w:r>
      <w:r w:rsidDel="00000000" w:rsidR="00000000" w:rsidRPr="00000000">
        <w:rPr>
          <w:rFonts w:ascii="Arial" w:cs="Arial" w:eastAsia="Arial" w:hAnsi="Arial"/>
          <w:color w:val="000000"/>
          <w:sz w:val="24"/>
          <w:szCs w:val="24"/>
          <w:rtl w:val="0"/>
        </w:rPr>
        <w:t xml:space="preserve">Error! Reference source not found.</w:t>
      </w:r>
      <w:r w:rsidDel="00000000" w:rsidR="00000000" w:rsidRPr="00000000">
        <w:rPr>
          <w:rFonts w:ascii="Arial" w:cs="Arial" w:eastAsia="Arial" w:hAnsi="Arial"/>
          <w:b w:val="1"/>
          <w:i w:val="1"/>
          <w:color w:val="000000"/>
          <w:sz w:val="24"/>
          <w:szCs w:val="24"/>
          <w:highlight w:val="yellow"/>
          <w:rtl w:val="0"/>
        </w:rPr>
        <w:t xml:space="preserve"> of this Schedule]</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C1">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2">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3">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4">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6"/>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bl>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after="0" w:line="276" w:lineRule="auto"/>
        <w:jc w:val="left"/>
        <w:rPr>
          <w:rFonts w:ascii="Arial" w:cs="Arial" w:eastAsia="Arial" w:hAnsi="Arial"/>
          <w:color w:val="000000"/>
          <w:sz w:val="24"/>
          <w:szCs w:val="24"/>
        </w:rPr>
      </w:pPr>
      <w:r w:rsidDel="00000000" w:rsidR="00000000" w:rsidRPr="00000000">
        <w:rPr>
          <w:rtl w:val="0"/>
        </w:rPr>
      </w:r>
    </w:p>
    <w:tbl>
      <w:tblPr>
        <w:tblStyle w:val="Table7"/>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Free Cash Flow</w:t>
            </w:r>
            <w:r w:rsidDel="00000000" w:rsidR="00000000" w:rsidRPr="00000000">
              <w:rPr>
                <w:rFonts w:ascii="Arial" w:cs="Arial" w:eastAsia="Arial" w:hAnsi="Arial"/>
                <w:i w:val="1"/>
                <w:color w:val="000000"/>
                <w:sz w:val="24"/>
                <w:szCs w:val="24"/>
                <w:rtl w:val="0"/>
              </w:rPr>
              <w:t xml:space="preserve">” = Net Cash Flow from Operating Activities – Capital Expenditure</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Capital Expenditure</w:t>
            </w:r>
            <w:r w:rsidDel="00000000" w:rsidR="00000000" w:rsidRPr="00000000">
              <w:rPr>
                <w:rFonts w:ascii="Arial" w:cs="Arial" w:eastAsia="Arial" w:hAnsi="Arial"/>
                <w:i w:val="1"/>
                <w:color w:val="000000"/>
                <w:sz w:val="24"/>
                <w:szCs w:val="24"/>
                <w:rtl w:val="0"/>
              </w:rPr>
              <w:t xml:space="preserve">” = Purchase of property, plant &amp; equipment + purchase of intangible assets</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Cash Flow from Operating Activities</w:t>
            </w:r>
            <w:r w:rsidDel="00000000" w:rsidR="00000000" w:rsidRPr="00000000">
              <w:rPr>
                <w:rFonts w:ascii="Arial" w:cs="Arial" w:eastAsia="Arial" w:hAnsi="Arial"/>
                <w:color w:val="000000"/>
                <w:sz w:val="24"/>
                <w:szCs w:val="24"/>
                <w:rtl w:val="0"/>
              </w:rPr>
              <w:t xml:space="preserve">: This should be stated after deduction of interest and tax paid.</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Capital expenditure</w:t>
            </w:r>
            <w:r w:rsidDel="00000000" w:rsidR="00000000" w:rsidRPr="00000000">
              <w:rPr>
                <w:rFonts w:ascii="Arial" w:cs="Arial" w:eastAsia="Arial" w:hAnsi="Arial"/>
                <w:color w:val="000000"/>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tyjcwt" w:id="5"/>
            <w:bookmarkEnd w:id="5"/>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bl>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4">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5">
      <w:pPr>
        <w:spacing w:after="200" w:before="100" w:lineRule="auto"/>
        <w:jc w:val="left"/>
        <w:rPr>
          <w:rFonts w:ascii="Arial" w:cs="Arial" w:eastAsia="Arial" w:hAnsi="Arial"/>
          <w:smallCaps w:val="1"/>
          <w:color w:val="000000"/>
          <w:sz w:val="24"/>
          <w:szCs w:val="24"/>
        </w:rPr>
      </w:pPr>
      <w:r w:rsidDel="00000000" w:rsidR="00000000" w:rsidRPr="00000000">
        <w:rPr>
          <w:rFonts w:ascii="Arial" w:cs="Arial" w:eastAsia="Arial" w:hAnsi="Arial"/>
          <w:b w:val="1"/>
          <w:sz w:val="24"/>
          <w:szCs w:val="24"/>
          <w:rtl w:val="0"/>
        </w:rPr>
        <w:t xml:space="preserve">Annex 4 - Board Confirmation:</w:t>
      </w: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The Board of Directors acknowledge the requirements set out at paragraph </w:t>
      </w:r>
      <w:r w:rsidDel="00000000" w:rsidR="00000000" w:rsidRPr="00000000">
        <w:rPr>
          <w:rFonts w:ascii="Arial" w:cs="Arial" w:eastAsia="Arial" w:hAnsi="Arial"/>
          <w:b w:val="1"/>
          <w:color w:val="000000"/>
          <w:sz w:val="24"/>
          <w:szCs w:val="24"/>
          <w:rtl w:val="0"/>
        </w:rPr>
        <w:t xml:space="preserve">Error! Reference source not found.</w:t>
      </w:r>
      <w:r w:rsidDel="00000000" w:rsidR="00000000" w:rsidRPr="00000000">
        <w:rPr>
          <w:rFonts w:ascii="Arial" w:cs="Arial" w:eastAsia="Arial" w:hAnsi="Arial"/>
          <w:color w:val="000000"/>
          <w:sz w:val="24"/>
          <w:szCs w:val="24"/>
          <w:rtl w:val="0"/>
        </w:rPr>
        <w:t xml:space="preserve"> of Joint Schedule 7 (</w:t>
      </w:r>
      <w:r w:rsidDel="00000000" w:rsidR="00000000" w:rsidRPr="00000000">
        <w:rPr>
          <w:rFonts w:ascii="Arial" w:cs="Arial" w:eastAsia="Arial" w:hAnsi="Arial"/>
          <w:i w:val="1"/>
          <w:color w:val="000000"/>
          <w:sz w:val="24"/>
          <w:szCs w:val="24"/>
          <w:rtl w:val="0"/>
        </w:rPr>
        <w:t xml:space="preserve">Financial Difficulites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C">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2D">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38">
      <w:pPr>
        <w:spacing w:after="200" w:line="276" w:lineRule="auto"/>
        <w:jc w:val="left"/>
        <w:rPr>
          <w:rFonts w:ascii="Arial" w:cs="Arial" w:eastAsia="Arial" w:hAnsi="Arial"/>
          <w:sz w:val="24"/>
          <w:szCs w:val="24"/>
        </w:rPr>
      </w:pPr>
      <w:bookmarkStart w:colFirst="0" w:colLast="0" w:name="_4d34og8" w:id="8"/>
      <w:bookmarkEnd w:id="8"/>
      <w:r w:rsidDel="00000000" w:rsidR="00000000" w:rsidRPr="00000000">
        <w:rPr>
          <w:rtl w:val="0"/>
        </w:rPr>
      </w:r>
    </w:p>
    <w:p w:rsidR="00000000" w:rsidDel="00000000" w:rsidP="00000000" w:rsidRDefault="00000000" w:rsidRPr="00000000" w14:paraId="00000139">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p w:rsidR="00000000" w:rsidDel="00000000" w:rsidP="00000000" w:rsidRDefault="00000000" w:rsidRPr="00000000" w14:paraId="0000014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78335416.578335416.578335416.578335416.5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78335416.578335416.578335416.578335416.5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4">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6">
    <w:pPr>
      <w:spacing w:after="0" w:lineRule="auto"/>
      <w:rPr>
        <w:color w:val="bfbfbf"/>
      </w:rPr>
    </w:pPr>
    <w:r w:rsidDel="00000000" w:rsidR="00000000" w:rsidRPr="00000000">
      <w:rPr>
        <w:color w:val="bfbfbf"/>
        <w:rtl w:val="0"/>
      </w:rPr>
      <w:t xml:space="preserve">Model Version : v3.0</w:t>
      <w:tab/>
      <w:tab/>
      <w:tab/>
      <w:tab/>
    </w:r>
  </w:p>
  <w:p w:rsidR="00000000" w:rsidDel="00000000" w:rsidP="00000000" w:rsidRDefault="00000000" w:rsidRPr="00000000" w14:paraId="00000147">
    <w:pPr>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78335416.578335416.578335416.578335416.5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w:t>
    </w:r>
    <w:r w:rsidDel="00000000" w:rsidR="00000000" w:rsidRPr="00000000">
      <w:rPr>
        <w:rFonts w:ascii="Arial" w:cs="Arial" w:eastAsia="Arial" w:hAnsi="Arial"/>
        <w:b w:val="1"/>
        <w:sz w:val="20"/>
        <w:szCs w:val="20"/>
        <w:rtl w:val="0"/>
      </w:rPr>
      <w:t xml:space="preserve">7</w:t>
    </w:r>
    <w:r w:rsidDel="00000000" w:rsidR="00000000" w:rsidRPr="00000000">
      <w:rPr>
        <w:rFonts w:ascii="Arial" w:cs="Arial" w:eastAsia="Arial" w:hAnsi="Arial"/>
        <w:b w:val="1"/>
        <w:color w:val="000000"/>
        <w:sz w:val="20"/>
        <w:szCs w:val="20"/>
        <w:rtl w:val="0"/>
      </w:rPr>
      <w:t xml:space="preserve"> (Financial Difficulties)</w:t>
    </w: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